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6315" w:rsidRDefault="0012441D" w:rsidP="00376315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376315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9E57CC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6315" w:rsidRDefault="0012441D" w:rsidP="008B1DE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B1DED" w:rsidRPr="00376315">
              <w:rPr>
                <w:rFonts w:ascii="Arial Narrow" w:hAnsi="Arial Narrow"/>
                <w:b/>
                <w:bCs/>
                <w:sz w:val="20"/>
                <w:szCs w:val="20"/>
              </w:rPr>
              <w:t>Kinezyterapia</w:t>
            </w:r>
          </w:p>
        </w:tc>
      </w:tr>
      <w:tr w:rsidR="0012441D" w:rsidRPr="009E57CC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E0540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E054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7E0540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37631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76315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76315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76315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9E57CC" w:rsidTr="0037631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9E57CC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9E57CC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EB5B5F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376315" w:rsidRDefault="00376315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12w/30l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376315" w:rsidRDefault="00376315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12w/30l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376315" w:rsidRDefault="00376315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12w/30l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9E57CC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9E57CC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9E57CC" w:rsidTr="0037631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9E57CC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9E57CC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EB5B5F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37631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37631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37631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9E57CC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9E57CC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9E57CC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0DFE" w:rsidRPr="009E57CC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9E57CC" w:rsidRDefault="00F87EB8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/>
                <w:sz w:val="20"/>
              </w:rPr>
              <w:t>dr Tomasz Wolny</w:t>
            </w:r>
          </w:p>
        </w:tc>
      </w:tr>
      <w:tr w:rsidR="00BE0DFE" w:rsidRPr="009E57CC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376315" w:rsidP="0037631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</w:t>
            </w:r>
            <w:r w:rsidR="007474AE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>/laboratorium</w:t>
            </w:r>
          </w:p>
        </w:tc>
      </w:tr>
      <w:tr w:rsidR="00BE0DFE" w:rsidRPr="009E57CC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0DFE" w:rsidRPr="009E57CC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8B1DED" w:rsidRDefault="008B1DED" w:rsidP="008B1DED">
            <w:pPr>
              <w:ind w:firstLine="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D1687">
              <w:rPr>
                <w:rFonts w:ascii="Arial Narrow" w:hAnsi="Arial Narrow"/>
                <w:sz w:val="20"/>
                <w:szCs w:val="20"/>
              </w:rPr>
              <w:t xml:space="preserve">Zasadniczym celem nauczania przedmiotu jest zapoznanie studentów z podstawami teoretycznymi oraz systematyką, metodyką i techniką wykonywania ćwiczeń leczniczych, innych środków kinezyterapii miejscowej i ogólnej oraz metod kinezyterapeutycznych. Głównym celem ćwiczeń jest umożliwienie studentom przyswojenia umiejętności praktycznego przeprowadzania badania podmiotowego i przedmiotowego oraz wykonywania różnorodnych ćwiczeń leczniczych i technik terapeutycznych oraz racjonalnego stosowania ich w odniesieniu do różnego rodzaju dysfunkcji. </w:t>
            </w:r>
          </w:p>
        </w:tc>
      </w:tr>
      <w:tr w:rsidR="00BE0DFE" w:rsidRPr="009E57CC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376315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9E57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9E57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9E57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9E57CC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9E57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1444CC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8" w:rsidRPr="00986608" w:rsidRDefault="00986608" w:rsidP="0098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BE0DFE" w:rsidRPr="001444CC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1444CC" w:rsidRDefault="00986608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M1_W07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8" w:rsidRPr="00986608" w:rsidRDefault="00986608" w:rsidP="009866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Wie jakie są zagrożenia i trudności w wykonywaniu </w:t>
            </w:r>
          </w:p>
          <w:p w:rsidR="00986608" w:rsidRPr="00986608" w:rsidRDefault="00986608" w:rsidP="009866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poszczególnych zabiegów z zakresu kinezyterapii, fizykoterapii, </w:t>
            </w:r>
          </w:p>
          <w:p w:rsidR="00986608" w:rsidRPr="00986608" w:rsidRDefault="00986608" w:rsidP="009866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masażu i terapii manualnej oraz zna przeciwwskazania do ich </w:t>
            </w:r>
          </w:p>
          <w:p w:rsidR="00BE0DFE" w:rsidRPr="001444CC" w:rsidRDefault="009866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stosowania.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1444CC" w:rsidRDefault="005D374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1176F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8" w:rsidRPr="00986608" w:rsidRDefault="00986608" w:rsidP="009866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9866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8" w:rsidRPr="00986608" w:rsidRDefault="00986608" w:rsidP="009866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Wie jakie są </w:t>
            </w:r>
          </w:p>
          <w:p w:rsidR="00986608" w:rsidRPr="00986608" w:rsidRDefault="00986608" w:rsidP="009866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 xml:space="preserve">wskazania do wykonywania poszczególnych </w:t>
            </w:r>
          </w:p>
          <w:p w:rsidR="0041176F" w:rsidRPr="001444CC" w:rsidRDefault="0098660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6608">
              <w:rPr>
                <w:rFonts w:ascii="Arial Narrow" w:hAnsi="Arial Narrow" w:cs="Arial"/>
                <w:sz w:val="20"/>
                <w:szCs w:val="20"/>
              </w:rPr>
              <w:t>procedur terapeutycznych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5D374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1176F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41176F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_W07</w:t>
            </w:r>
          </w:p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0540">
              <w:rPr>
                <w:rFonts w:ascii="Arial Narrow" w:hAnsi="Arial Narrow" w:cs="Arial"/>
                <w:sz w:val="20"/>
                <w:szCs w:val="20"/>
              </w:rPr>
              <w:t>M1_W0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Zna metody oceny stanu pacjenta w oparciu o różnorodne rozwiązania diagnostyczne. Zna procedury diagnostyczne w różnych obszarach klinicznych charakterystycznych dla fizjoterapii. Zna metody pomiaru wydolności człowieka.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5D374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1176F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41176F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_W12</w:t>
            </w:r>
          </w:p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0540">
              <w:rPr>
                <w:rFonts w:ascii="Arial Narrow" w:hAnsi="Arial Narrow" w:cs="Arial"/>
                <w:sz w:val="20"/>
                <w:szCs w:val="20"/>
              </w:rPr>
              <w:t>M1_W0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Zna i rozumie pojęcia z zakresu profilaktyki i ergonomii pracy człowieka. Zna różnorodne rozwiązania ochronne dla zdrowia i życia człowieka</w:t>
            </w:r>
            <w:r w:rsidR="001444C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5D374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1176F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41176F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_W20</w:t>
            </w:r>
          </w:p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E0540">
              <w:rPr>
                <w:rFonts w:ascii="Arial Narrow" w:hAnsi="Arial Narrow" w:cs="Arial"/>
                <w:sz w:val="20"/>
                <w:szCs w:val="20"/>
              </w:rPr>
              <w:t>M1_W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Zna zagadnienia i terminologię stosowaną w prowadzeniu zajęć terapeutycznych z pacjentem w oparciu o metodykę nauczania ruchu</w:t>
            </w:r>
            <w:r w:rsidR="001444C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5D374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praca zaliczeniowa</w:t>
            </w:r>
          </w:p>
        </w:tc>
      </w:tr>
      <w:tr w:rsidR="0041176F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41176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CD5E7B">
              <w:rPr>
                <w:rFonts w:ascii="Arial Narrow" w:hAnsi="Arial Narrow" w:cs="Arial"/>
                <w:sz w:val="20"/>
                <w:szCs w:val="20"/>
              </w:rPr>
              <w:t>_U01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CD5E7B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 xml:space="preserve">Posiada umiejętności manualne niezbędne do wykonywania </w:t>
            </w:r>
          </w:p>
          <w:p w:rsidR="0041176F" w:rsidRPr="001444CC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zabiegów z zakresu kinezytera</w:t>
            </w:r>
            <w:r>
              <w:rPr>
                <w:rFonts w:ascii="Arial Narrow" w:hAnsi="Arial Narrow" w:cs="Arial"/>
                <w:sz w:val="20"/>
                <w:szCs w:val="20"/>
              </w:rPr>
              <w:t>pii, masażu i terapii manualnej.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1444CC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41176F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_U10</w:t>
            </w:r>
          </w:p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41176F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444CC" w:rsidRPr="0041176F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444CC" w:rsidRPr="0041176F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1176F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444CC" w:rsidRPr="0041176F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Potrafi zaplanować, przygotować, przeprowadzić oraz ewoluować działania usprawniające pacjentów w działach dysfunkcji narządu ruchu oraz chorób wewnętrznych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CD5E7B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1444CC" w:rsidRDefault="00CD5E7B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41176F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</w:t>
            </w:r>
            <w:r w:rsidRPr="00CD5E7B">
              <w:rPr>
                <w:rFonts w:ascii="Arial Narrow" w:hAnsi="Arial Narrow" w:cs="Arial"/>
                <w:sz w:val="20"/>
                <w:szCs w:val="20"/>
              </w:rPr>
              <w:t>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CD5E7B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CD5E7B" w:rsidRPr="0041176F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CD5E7B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 xml:space="preserve">Posiada umiejętności </w:t>
            </w:r>
            <w:r>
              <w:rPr>
                <w:rFonts w:ascii="Arial Narrow" w:hAnsi="Arial Narrow" w:cs="Arial"/>
                <w:sz w:val="20"/>
                <w:szCs w:val="20"/>
              </w:rPr>
              <w:t>obsługi i bezpiecznego zastosow</w:t>
            </w:r>
            <w:r w:rsidRPr="00CD5E7B">
              <w:rPr>
                <w:rFonts w:ascii="Arial Narrow" w:hAnsi="Arial Narrow" w:cs="Arial"/>
                <w:sz w:val="20"/>
                <w:szCs w:val="20"/>
              </w:rPr>
              <w:t xml:space="preserve">ania </w:t>
            </w:r>
          </w:p>
          <w:p w:rsidR="00CD5E7B" w:rsidRPr="00CD5E7B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 xml:space="preserve">urządzeń z zakresu kinezyterapii, fizykoterapii, masażu i terapii </w:t>
            </w:r>
          </w:p>
          <w:p w:rsidR="00CD5E7B" w:rsidRPr="001444CC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manualnej o</w:t>
            </w:r>
            <w:r>
              <w:rPr>
                <w:rFonts w:ascii="Arial Narrow" w:hAnsi="Arial Narrow" w:cs="Arial"/>
                <w:sz w:val="20"/>
                <w:szCs w:val="20"/>
              </w:rPr>
              <w:t>raz zaopatrzenia ortopedycznego.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Default="00CD5E7B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Odpowiedź ustna, obserwacja</w:t>
            </w:r>
          </w:p>
        </w:tc>
      </w:tr>
      <w:tr w:rsidR="001444CC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zdaje sobie sprawę z konieczności ciągłego dokształcania się zawodowego i rozwoju osobistego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1444CC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Jest świadomy własnych ograniczeń, potrafi określić swoje braki i wątpliwości, potrafi zwrócić się z prośbą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44CC">
              <w:rPr>
                <w:rFonts w:ascii="Arial Narrow" w:hAnsi="Arial Narrow" w:cs="Arial"/>
                <w:sz w:val="20"/>
                <w:szCs w:val="20"/>
              </w:rPr>
              <w:t>o radę do osób z większym doświadczeniem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1444CC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FIZ_K06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CC">
              <w:rPr>
                <w:rFonts w:ascii="Arial Narrow" w:hAnsi="Arial Narrow" w:cs="Arial"/>
                <w:sz w:val="20"/>
                <w:szCs w:val="20"/>
              </w:rPr>
              <w:t>Potrafi rozwiązywać problemy związane z wykonywaniem zawodu, współdziała interdyscyplinarnie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1444CC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CD5E7B" w:rsidRPr="001444CC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1444CC" w:rsidRDefault="00CD5E7B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1444CC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</w:t>
            </w:r>
            <w:r w:rsidRPr="00CD5E7B">
              <w:rPr>
                <w:rFonts w:ascii="Arial Narrow" w:hAnsi="Arial Narrow" w:cs="Arial"/>
                <w:sz w:val="20"/>
                <w:szCs w:val="20"/>
              </w:rPr>
              <w:t>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1444CC" w:rsidRDefault="00CD5E7B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1444CC" w:rsidRDefault="00CD5E7B" w:rsidP="00CD5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D5E7B">
              <w:rPr>
                <w:rFonts w:ascii="Arial Narrow" w:hAnsi="Arial Narrow" w:cs="Arial"/>
                <w:sz w:val="20"/>
                <w:szCs w:val="20"/>
              </w:rPr>
              <w:t>Realizuje zadania tera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peutyczne w sposób bezpieczny, </w:t>
            </w:r>
            <w:r w:rsidRPr="00CD5E7B">
              <w:rPr>
                <w:rFonts w:ascii="Arial Narrow" w:hAnsi="Arial Narrow" w:cs="Arial"/>
                <w:sz w:val="20"/>
                <w:szCs w:val="20"/>
              </w:rPr>
              <w:t>przemyślany i zgo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dny z zasadami wysokiej jakości i </w:t>
            </w:r>
            <w:r w:rsidRPr="00CD5E7B">
              <w:rPr>
                <w:rFonts w:ascii="Arial Narrow" w:hAnsi="Arial Narrow" w:cs="Arial"/>
                <w:sz w:val="20"/>
                <w:szCs w:val="20"/>
              </w:rPr>
              <w:t>bezpieczeństwa pracy.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Default="00CD5E7B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1444CC" w:rsidRPr="009E57CC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9E57CC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9E57CC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udział w ćwiczeniach = -----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przygotowanie do ćwiczeń = -----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przygotowanie do egzaminu = -----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realizacja zadań projektowych = -----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e-learning =-----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laboratorium </w:t>
            </w: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sz w:val="20"/>
                <w:szCs w:val="20"/>
              </w:rPr>
              <w:t>92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150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AB2CCF" w:rsidRPr="00376315" w:rsidRDefault="00AB2CCF" w:rsidP="00AB2CC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4,5</w:t>
            </w:r>
          </w:p>
          <w:p w:rsidR="001444CC" w:rsidRPr="00376315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5D3747" w:rsidRPr="00376315">
              <w:rPr>
                <w:rFonts w:ascii="Arial Narrow" w:hAnsi="Arial Narrow" w:cs="Arial"/>
                <w:sz w:val="20"/>
                <w:szCs w:val="20"/>
              </w:rPr>
              <w:t>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B1DED" w:rsidRPr="00376315">
              <w:rPr>
                <w:rFonts w:ascii="Arial Narrow" w:hAnsi="Arial Narrow" w:cs="Arial"/>
                <w:sz w:val="20"/>
                <w:szCs w:val="20"/>
              </w:rPr>
              <w:t>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przygotowanie do ćwiczeń = 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B1DED" w:rsidRPr="00376315">
              <w:rPr>
                <w:rFonts w:ascii="Arial Narrow" w:hAnsi="Arial Narrow" w:cs="Arial"/>
                <w:sz w:val="20"/>
                <w:szCs w:val="20"/>
              </w:rPr>
              <w:t>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8B1DED" w:rsidRPr="00376315">
              <w:rPr>
                <w:rFonts w:ascii="Arial Narrow" w:hAnsi="Arial Narrow" w:cs="Arial"/>
                <w:sz w:val="20"/>
                <w:szCs w:val="20"/>
              </w:rPr>
              <w:t>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realizacja zadań projektowych = 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e-learning =-----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sz w:val="20"/>
                <w:szCs w:val="20"/>
              </w:rPr>
              <w:t>inne  (określ jakie) = -----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376315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6315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  <w:p w:rsidR="001444CC" w:rsidRPr="00376315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9E57CC" w:rsidRDefault="00BA65B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0A3696">
              <w:rPr>
                <w:rFonts w:ascii="Arial Narrow" w:hAnsi="Arial Narrow"/>
                <w:sz w:val="20"/>
                <w:szCs w:val="20"/>
              </w:rPr>
              <w:t>najomoś</w:t>
            </w:r>
            <w:r>
              <w:rPr>
                <w:rFonts w:ascii="Arial Narrow" w:hAnsi="Arial Narrow"/>
                <w:sz w:val="20"/>
                <w:szCs w:val="20"/>
              </w:rPr>
              <w:t>ć podstaw anatomii (budowa i funkcja układów: kostno-stawowego, mięśniowego, nerwowego), biomechaniki (statyka, kinematyka), kinezjologii</w:t>
            </w:r>
          </w:p>
        </w:tc>
      </w:tr>
      <w:tr w:rsidR="001444CC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>Badania i jego składowe (badanie podmiotowe, badanie przedmiotowe, badania dodatkowe). Ocena ogólnego i miejscowego stanu pacjenta przeprowadzona dla potrzeb kinezyterapii.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Badanie pacjenta dla potrzeb kinezyterapii (pomiary orientacyjne, pomiary długości i obwodów, badanie zakresu ruchów w stawach, ocena siły mięśniowej – test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Lovetta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>, kliniczna ocena siły mięśniowej).</w:t>
            </w:r>
          </w:p>
          <w:p w:rsidR="001444CC" w:rsidRDefault="00BA65BD" w:rsidP="00CD5E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Diagnostyka funkcjonalna w kinezyterapii (testy pomocne w badaniu różnicowym, ocena niektórych objawów, testy wykrywające ograniczenia ruchomości, testy pomocne w ocenie stanu aparatu więzadłowego, testy pomocne w ocenie stanu neurologicznego, ocena wybranych objawów neurologicznych).  </w:t>
            </w:r>
          </w:p>
          <w:p w:rsidR="00CD5E7B" w:rsidRPr="00CD5E7B" w:rsidRDefault="00CD5E7B" w:rsidP="00CD5E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Badanie postawy ciała (metody subiektywne, metody rejestracyjno-pomiarowe, testy pomocne w badaniu postawy ciała). Możliwości zastosowania metod punktowych oceny postawy ciała w badaniach przesiewowych. </w:t>
            </w:r>
          </w:p>
        </w:tc>
      </w:tr>
      <w:tr w:rsidR="001444CC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9E57CC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B" w:rsidRPr="00BA65BD" w:rsidRDefault="00CD5E7B" w:rsidP="00CD5E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>Chód – analiza dynamiczna oraz kinematyczna. Ocena chodu (mechanizm i wyznaczniki chodu). Chód patologiczny. Rodzaje chodu o kulach (chód dwu-, trzy- i czterotaktowy).</w:t>
            </w:r>
          </w:p>
          <w:p w:rsidR="00CD5E7B" w:rsidRPr="00BA65BD" w:rsidRDefault="00CD5E7B" w:rsidP="00CD5E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Ogólne zasady doboru i wykonania ćwiczeń leczniczych. Dawkowanie ćwiczeń. Zasady planowania ćwiczeń. Ogólne wskazania i przeciwwskazania do wykonania ćwiczeń leczniczych. Etapy usprawniania. Zapobieganie błędom popełnianym podczas wykonywania ćwiczeń leczniczych. Jednostka ćwiczeń. Konspekt i osnowa. Dokumentacja w kinezyterapii. </w:t>
            </w:r>
          </w:p>
          <w:p w:rsidR="00CD5E7B" w:rsidRPr="00BA65BD" w:rsidRDefault="00CD5E7B" w:rsidP="00CD5E7B">
            <w:pPr>
              <w:keepNext/>
              <w:numPr>
                <w:ilvl w:val="0"/>
                <w:numId w:val="17"/>
              </w:numPr>
              <w:spacing w:after="0" w:line="240" w:lineRule="auto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BA65BD">
              <w:rPr>
                <w:rFonts w:ascii="Arial Narrow" w:hAnsi="Arial Narrow"/>
                <w:bCs/>
                <w:sz w:val="20"/>
                <w:szCs w:val="20"/>
              </w:rPr>
              <w:t>Systematyka ćwiczeń leczniczych. Kryteria podziału ćwiczeń. Podstawowe cele i zadania poszczególnych grup ćwiczeń. Metodyka i technika wykonywania ćwiczeń leczniczych z uwzględnieniem stanu pacjenta, rodzaju dysfunkcji oraz miejsca i warunków zewnętrznych. Dawkowanie obciążeń treningowych. Kontrola stanu pacjenta podczas wykonywania ćwiczeń. Zasady bezpieczeństwa w trakcie wykonywania ćwiczeń leczniczych.</w:t>
            </w:r>
          </w:p>
          <w:p w:rsidR="00CD5E7B" w:rsidRDefault="00CD5E7B" w:rsidP="00CD5E7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Bierne środki kinezyterapii (pozycje złożeniowe, drenaż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ułożeniowy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, ćwiczenia bierne właściwe, wyciągi - rodzaje oraz zasady zastosowania, pionizacja, ćwiczenia bierno-czynne, ćwiczenia czynno-bierne, ćwiczenia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samowspomagane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>). Wskazania i przeciwwskazania dla stosowania biernych środków kinezyterapii.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Techniki i ćwiczenia ukierunkowane na zwiększanie zakresu ruchomości (ćwiczenia bierne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redresyjne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autoretdresje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, ćwiczenia oparte na zjawisku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poizometrycznej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 relaksacji,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stretching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, wyciągi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redresyjne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). Technika oraz metodyka wykonania trakcji (rodzaje trakcji, wskazania oraz przeciwwskazania). Technika oraz metodyka wykonywania  mobilizacji (mobilizacje bierne, mobilizacje czynne,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automobilizacje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>, wskazania oraz przeciwwskazania).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>Ćwiczenia oddechowe i ćwiczenia relaksacyjne (rodzaje, cel, metodyka wykonania, wskazania). Ćwiczenia w wodzie (wpływ środowiska wodnego na organizm człowieka, formy ćwiczeń w wodzie, wskazania oraz przeciwwskazania). Ćwiczenia czynności życia codziennego (ćwiczenia w czynnościach samoobsługowych).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Metodyka i technika wykonania indywidualnych ćwiczeń leczniczych. Ćwiczenia czynne w odciążeniu oraz ćwiczenia czynne w odciążeniu z oporem (sposoby oraz rodzaje odciążeń, zasady doboru rodzaju ćwiczeń w odciążeniu w zależności od wielkości siły mięśniowej pacjenta, wskazania oraz przeciwwskazania). 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Metodyka i technika wykonywania ćwiczeń czynnych z oporem (rodzaje ćwiczeń oporowych, zasady doboru obciążeń, wpływ ćwiczeń oporowych na przyrost siły oraz masy mięśniowej, metoda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Hettingera-Muellera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, trening oporowy wg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McQuinna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 oraz trening z progresywnie narastającym oporem wg De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Lorme’a-Watkinsa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>, wskazania oraz przeciwwskazania).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Ćwiczenia synergistyczne oraz syn kinetyczne (rodzaje synergizmów, metodyka wykonania). Ćwiczenia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ogólnokondycyjne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 oraz ogólnorozwojowe (cel, zastosowanie). </w:t>
            </w:r>
          </w:p>
          <w:p w:rsidR="00BA65BD" w:rsidRPr="00BA65BD" w:rsidRDefault="00BA65BD" w:rsidP="00BA65BD">
            <w:pPr>
              <w:keepNext/>
              <w:numPr>
                <w:ilvl w:val="0"/>
                <w:numId w:val="17"/>
              </w:numPr>
              <w:spacing w:after="0" w:line="240" w:lineRule="auto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BA65BD">
              <w:rPr>
                <w:rFonts w:ascii="Arial Narrow" w:hAnsi="Arial Narrow"/>
                <w:bCs/>
                <w:sz w:val="20"/>
                <w:szCs w:val="20"/>
              </w:rPr>
              <w:t xml:space="preserve">Cele i zadania reedukacji posturalnej. Ćwiczenia kompensacyjno-korekcyjne (rodzaje ćwiczeń, zastosowanie). Wybrane metody postępowania korekcyjnego oraz reedukacji posturalnej (metoda </w:t>
            </w:r>
            <w:proofErr w:type="spellStart"/>
            <w:r w:rsidRPr="00BA65BD">
              <w:rPr>
                <w:rFonts w:ascii="Arial Narrow" w:hAnsi="Arial Narrow"/>
                <w:bCs/>
                <w:sz w:val="20"/>
                <w:szCs w:val="20"/>
              </w:rPr>
              <w:t>Klappa</w:t>
            </w:r>
            <w:proofErr w:type="spellEnd"/>
            <w:r w:rsidRPr="00BA65BD">
              <w:rPr>
                <w:rFonts w:ascii="Arial Narrow" w:hAnsi="Arial Narrow"/>
                <w:bCs/>
                <w:sz w:val="20"/>
                <w:szCs w:val="20"/>
              </w:rPr>
              <w:t xml:space="preserve">, metoda </w:t>
            </w:r>
            <w:proofErr w:type="spellStart"/>
            <w:r w:rsidRPr="00BA65BD">
              <w:rPr>
                <w:rFonts w:ascii="Arial Narrow" w:hAnsi="Arial Narrow"/>
                <w:bCs/>
                <w:sz w:val="20"/>
                <w:szCs w:val="20"/>
              </w:rPr>
              <w:t>Niederhoeffera</w:t>
            </w:r>
            <w:proofErr w:type="spellEnd"/>
            <w:r w:rsidRPr="00BA65BD">
              <w:rPr>
                <w:rFonts w:ascii="Arial Narrow" w:hAnsi="Arial Narrow"/>
                <w:bCs/>
                <w:sz w:val="20"/>
                <w:szCs w:val="20"/>
              </w:rPr>
              <w:t xml:space="preserve">, metoda </w:t>
            </w:r>
            <w:proofErr w:type="spellStart"/>
            <w:r w:rsidRPr="00BA65BD">
              <w:rPr>
                <w:rFonts w:ascii="Arial Narrow" w:hAnsi="Arial Narrow"/>
                <w:bCs/>
                <w:sz w:val="20"/>
                <w:szCs w:val="20"/>
              </w:rPr>
              <w:t>Majocha</w:t>
            </w:r>
            <w:proofErr w:type="spellEnd"/>
            <w:r w:rsidRPr="00BA65BD">
              <w:rPr>
                <w:rFonts w:ascii="Arial Narrow" w:hAnsi="Arial Narrow"/>
                <w:bCs/>
                <w:sz w:val="20"/>
                <w:szCs w:val="20"/>
              </w:rPr>
              <w:t xml:space="preserve">, metoda </w:t>
            </w:r>
            <w:proofErr w:type="spellStart"/>
            <w:r w:rsidRPr="00BA65BD">
              <w:rPr>
                <w:rFonts w:ascii="Arial Narrow" w:hAnsi="Arial Narrow"/>
                <w:bCs/>
                <w:sz w:val="20"/>
                <w:szCs w:val="20"/>
              </w:rPr>
              <w:t>Lehnert-Schroth</w:t>
            </w:r>
            <w:proofErr w:type="spellEnd"/>
            <w:r w:rsidRPr="00BA65BD">
              <w:rPr>
                <w:rFonts w:ascii="Arial Narrow" w:hAnsi="Arial Narrow"/>
                <w:bCs/>
                <w:sz w:val="20"/>
                <w:szCs w:val="20"/>
              </w:rPr>
              <w:t>).</w:t>
            </w:r>
          </w:p>
          <w:p w:rsidR="00BA65BD" w:rsidRPr="00BA65BD" w:rsidRDefault="00BA65BD" w:rsidP="00BA65BD">
            <w:pPr>
              <w:keepNext/>
              <w:numPr>
                <w:ilvl w:val="0"/>
                <w:numId w:val="17"/>
              </w:numPr>
              <w:spacing w:after="0" w:line="240" w:lineRule="auto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BA65BD">
              <w:rPr>
                <w:rFonts w:ascii="Arial Narrow" w:hAnsi="Arial Narrow"/>
                <w:bCs/>
                <w:sz w:val="20"/>
                <w:szCs w:val="20"/>
              </w:rPr>
              <w:t>Sposoby reedukacji stabilizacji lokalnej oraz ogólnej. Reedukacja stabilizacji lędźwiowego odcinka kręgosłupa (etapy reedukacji głębokich mięśni brzucha zgodnie z założeniami metody australijskiej)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>Systematyka metod kinezyterapii (geneza metod, kryteria podziału, metody mechaniczne, metody neurofizjologiczne, metody edukacyjne).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Kinezyprofilaktyka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 (podstawowe pojęcia, cel zastosowanie). „Szkoła pleców” (rys historyczny, założenia ogólne). Metoda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Brueggera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 (założenia ogólne, zastosowanie). </w:t>
            </w:r>
          </w:p>
          <w:p w:rsidR="00BA65BD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65BD">
              <w:rPr>
                <w:rFonts w:ascii="Arial Narrow" w:hAnsi="Arial Narrow"/>
                <w:sz w:val="20"/>
                <w:szCs w:val="20"/>
              </w:rPr>
              <w:t xml:space="preserve">Metoda McKenzie jako przykład metody o działaniu mechanicznym (geneza metody, założenia teoretyczne, znaczenie metody w leczeniu dolegliwości bólowych </w:t>
            </w:r>
            <w:proofErr w:type="spellStart"/>
            <w:r w:rsidRPr="00BA65BD">
              <w:rPr>
                <w:rFonts w:ascii="Arial Narrow" w:hAnsi="Arial Narrow"/>
                <w:sz w:val="20"/>
                <w:szCs w:val="20"/>
              </w:rPr>
              <w:t>kregosłupa</w:t>
            </w:r>
            <w:proofErr w:type="spellEnd"/>
            <w:r w:rsidRPr="00BA65BD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  <w:p w:rsid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A65BD">
              <w:rPr>
                <w:rFonts w:ascii="Arial Narrow" w:hAnsi="Arial Narrow"/>
                <w:sz w:val="20"/>
                <w:szCs w:val="24"/>
              </w:rPr>
              <w:t xml:space="preserve">Metody reedukacji nerwowo-mięśniowej stosowane u dzieci – metoda NDT </w:t>
            </w:r>
            <w:proofErr w:type="spellStart"/>
            <w:r w:rsidRPr="00BA65BD">
              <w:rPr>
                <w:rFonts w:ascii="Arial Narrow" w:hAnsi="Arial Narrow"/>
                <w:sz w:val="20"/>
                <w:szCs w:val="24"/>
              </w:rPr>
              <w:t>Bobath</w:t>
            </w:r>
            <w:proofErr w:type="spellEnd"/>
            <w:r w:rsidRPr="00BA65BD">
              <w:rPr>
                <w:rFonts w:ascii="Arial Narrow" w:hAnsi="Arial Narrow"/>
                <w:sz w:val="20"/>
                <w:szCs w:val="24"/>
              </w:rPr>
              <w:t xml:space="preserve">, metoda </w:t>
            </w:r>
            <w:proofErr w:type="spellStart"/>
            <w:r w:rsidRPr="00BA65BD">
              <w:rPr>
                <w:rFonts w:ascii="Arial Narrow" w:hAnsi="Arial Narrow"/>
                <w:sz w:val="20"/>
                <w:szCs w:val="24"/>
              </w:rPr>
              <w:t>Vojty</w:t>
            </w:r>
            <w:proofErr w:type="spellEnd"/>
            <w:r w:rsidRPr="00BA65BD">
              <w:rPr>
                <w:rFonts w:ascii="Arial Narrow" w:hAnsi="Arial Narrow"/>
                <w:sz w:val="20"/>
                <w:szCs w:val="24"/>
              </w:rPr>
              <w:t xml:space="preserve">, metoda </w:t>
            </w:r>
            <w:proofErr w:type="spellStart"/>
            <w:r w:rsidRPr="00BA65BD">
              <w:rPr>
                <w:rFonts w:ascii="Arial Narrow" w:hAnsi="Arial Narrow"/>
                <w:sz w:val="20"/>
                <w:szCs w:val="24"/>
              </w:rPr>
              <w:t>Domana-Delacato</w:t>
            </w:r>
            <w:proofErr w:type="spellEnd"/>
            <w:r w:rsidRPr="00BA65BD">
              <w:rPr>
                <w:rFonts w:ascii="Arial Narrow" w:hAnsi="Arial Narrow"/>
                <w:sz w:val="20"/>
                <w:szCs w:val="24"/>
              </w:rPr>
              <w:t xml:space="preserve"> (geneza, założenia teoretyczne, diagnostyka, założenia praktyczne, przykładowe techniki, rola i znaczenie metody).</w:t>
            </w:r>
          </w:p>
          <w:p w:rsidR="001444CC" w:rsidRPr="00BA65BD" w:rsidRDefault="00BA65BD" w:rsidP="00BA65BD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A65BD">
              <w:rPr>
                <w:rFonts w:ascii="Arial Narrow" w:hAnsi="Arial Narrow"/>
                <w:sz w:val="20"/>
                <w:szCs w:val="24"/>
              </w:rPr>
              <w:t xml:space="preserve">Metody reedukacji nerwowo-mięśniowej stosowane u dorosłych – metoda </w:t>
            </w:r>
            <w:proofErr w:type="spellStart"/>
            <w:r w:rsidRPr="00BA65BD">
              <w:rPr>
                <w:rFonts w:ascii="Arial Narrow" w:hAnsi="Arial Narrow"/>
                <w:sz w:val="20"/>
                <w:szCs w:val="24"/>
              </w:rPr>
              <w:t>Brunkow</w:t>
            </w:r>
            <w:proofErr w:type="spellEnd"/>
            <w:r w:rsidRPr="00BA65BD">
              <w:rPr>
                <w:rFonts w:ascii="Arial Narrow" w:hAnsi="Arial Narrow"/>
                <w:sz w:val="20"/>
                <w:szCs w:val="24"/>
              </w:rPr>
              <w:t xml:space="preserve">, metoda </w:t>
            </w:r>
            <w:proofErr w:type="spellStart"/>
            <w:r w:rsidRPr="00BA65BD">
              <w:rPr>
                <w:rFonts w:ascii="Arial Narrow" w:hAnsi="Arial Narrow"/>
                <w:sz w:val="20"/>
                <w:szCs w:val="24"/>
              </w:rPr>
              <w:t>Bobath</w:t>
            </w:r>
            <w:proofErr w:type="spellEnd"/>
            <w:r w:rsidRPr="00BA65BD">
              <w:rPr>
                <w:rFonts w:ascii="Arial Narrow" w:hAnsi="Arial Narrow"/>
                <w:sz w:val="20"/>
                <w:szCs w:val="24"/>
              </w:rPr>
              <w:t>, metoda PNF (geneza, założenia teoretyczne, diagnostyka, założenia praktyczne, przykładowe techniki, rola i znaczenie metody)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9" w:rsidRDefault="007F4E19" w:rsidP="007F4E19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rPr>
                <w:rFonts w:ascii="Arial Narrow" w:hAnsi="Arial Narrow"/>
                <w:sz w:val="20"/>
              </w:rPr>
            </w:pPr>
            <w:r w:rsidRPr="000A3696">
              <w:rPr>
                <w:rFonts w:ascii="Arial Narrow" w:hAnsi="Arial Narrow"/>
                <w:sz w:val="20"/>
              </w:rPr>
              <w:t>Nowotny J.</w:t>
            </w:r>
            <w:r>
              <w:rPr>
                <w:rFonts w:ascii="Arial Narrow" w:hAnsi="Arial Narrow"/>
                <w:sz w:val="20"/>
              </w:rPr>
              <w:t>, Saulicz E.</w:t>
            </w:r>
            <w:r w:rsidRPr="000A3696">
              <w:rPr>
                <w:rFonts w:ascii="Arial Narrow" w:hAnsi="Arial Narrow"/>
                <w:sz w:val="20"/>
              </w:rPr>
              <w:t xml:space="preserve">: Podstawy Fizjoterapii. </w:t>
            </w:r>
            <w:r>
              <w:rPr>
                <w:rFonts w:ascii="Arial Narrow" w:hAnsi="Arial Narrow"/>
                <w:sz w:val="20"/>
              </w:rPr>
              <w:t xml:space="preserve">Część I. </w:t>
            </w:r>
            <w:r w:rsidRPr="000A3696">
              <w:rPr>
                <w:rFonts w:ascii="Arial Narrow" w:hAnsi="Arial Narrow"/>
                <w:sz w:val="20"/>
              </w:rPr>
              <w:t>AWF</w:t>
            </w:r>
            <w:r>
              <w:rPr>
                <w:rFonts w:ascii="Arial Narrow" w:hAnsi="Arial Narrow"/>
                <w:sz w:val="20"/>
              </w:rPr>
              <w:t>,</w:t>
            </w:r>
            <w:r w:rsidRPr="000A3696">
              <w:rPr>
                <w:rFonts w:ascii="Arial Narrow" w:hAnsi="Arial Narrow"/>
                <w:sz w:val="20"/>
              </w:rPr>
              <w:t xml:space="preserve"> Katowice, 1998</w:t>
            </w:r>
            <w:r>
              <w:rPr>
                <w:rFonts w:ascii="Arial Narrow" w:hAnsi="Arial Narrow"/>
                <w:sz w:val="20"/>
              </w:rPr>
              <w:t>;</w:t>
            </w:r>
          </w:p>
          <w:p w:rsidR="007F4E19" w:rsidRDefault="007F4E19" w:rsidP="007F4E19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rPr>
                <w:rFonts w:ascii="Arial Narrow" w:hAnsi="Arial Narrow"/>
                <w:sz w:val="20"/>
              </w:rPr>
            </w:pPr>
            <w:r w:rsidRPr="000A3696">
              <w:rPr>
                <w:rFonts w:ascii="Arial Narrow" w:hAnsi="Arial Narrow"/>
                <w:sz w:val="20"/>
              </w:rPr>
              <w:t>Nowotny J.</w:t>
            </w:r>
            <w:r>
              <w:rPr>
                <w:rFonts w:ascii="Arial Narrow" w:hAnsi="Arial Narrow"/>
                <w:sz w:val="20"/>
              </w:rPr>
              <w:t xml:space="preserve">, Saulicz E., </w:t>
            </w:r>
            <w:proofErr w:type="spellStart"/>
            <w:r>
              <w:rPr>
                <w:rFonts w:ascii="Arial Narrow" w:hAnsi="Arial Narrow"/>
                <w:sz w:val="20"/>
              </w:rPr>
              <w:t>Gieremek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K.</w:t>
            </w:r>
            <w:r w:rsidRPr="000A3696">
              <w:rPr>
                <w:rFonts w:ascii="Arial Narrow" w:hAnsi="Arial Narrow"/>
                <w:sz w:val="20"/>
              </w:rPr>
              <w:t xml:space="preserve">: Podstawy Fizjoterapii. </w:t>
            </w:r>
            <w:r>
              <w:rPr>
                <w:rFonts w:ascii="Arial Narrow" w:hAnsi="Arial Narrow"/>
                <w:sz w:val="20"/>
              </w:rPr>
              <w:t xml:space="preserve">Część II. </w:t>
            </w:r>
            <w:r w:rsidRPr="000A3696">
              <w:rPr>
                <w:rFonts w:ascii="Arial Narrow" w:hAnsi="Arial Narrow"/>
                <w:sz w:val="20"/>
              </w:rPr>
              <w:t>AWF</w:t>
            </w:r>
            <w:r>
              <w:rPr>
                <w:rFonts w:ascii="Arial Narrow" w:hAnsi="Arial Narrow"/>
                <w:sz w:val="20"/>
              </w:rPr>
              <w:t>,</w:t>
            </w:r>
            <w:r w:rsidRPr="000A3696">
              <w:rPr>
                <w:rFonts w:ascii="Arial Narrow" w:hAnsi="Arial Narrow"/>
                <w:sz w:val="20"/>
              </w:rPr>
              <w:t xml:space="preserve"> Katowice, 1998</w:t>
            </w:r>
            <w:r>
              <w:rPr>
                <w:rFonts w:ascii="Arial Narrow" w:hAnsi="Arial Narrow"/>
                <w:sz w:val="20"/>
              </w:rPr>
              <w:t>;</w:t>
            </w:r>
          </w:p>
          <w:p w:rsidR="007F4E19" w:rsidRDefault="007F4E19" w:rsidP="007F4E19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rPr>
                <w:rFonts w:ascii="Arial Narrow" w:hAnsi="Arial Narrow"/>
                <w:sz w:val="20"/>
              </w:rPr>
            </w:pPr>
            <w:r w:rsidRPr="000A3696">
              <w:rPr>
                <w:rFonts w:ascii="Arial Narrow" w:hAnsi="Arial Narrow"/>
                <w:sz w:val="20"/>
              </w:rPr>
              <w:t>Nowotny J.</w:t>
            </w:r>
            <w:r>
              <w:rPr>
                <w:rFonts w:ascii="Arial Narrow" w:hAnsi="Arial Narrow"/>
                <w:sz w:val="20"/>
              </w:rPr>
              <w:t xml:space="preserve"> (red.)</w:t>
            </w:r>
            <w:r w:rsidRPr="000A3696">
              <w:rPr>
                <w:rFonts w:ascii="Arial Narrow" w:hAnsi="Arial Narrow"/>
                <w:sz w:val="20"/>
              </w:rPr>
              <w:t xml:space="preserve">: Podstawy Fizjoterapii. </w:t>
            </w:r>
            <w:r>
              <w:rPr>
                <w:rFonts w:ascii="Arial Narrow" w:hAnsi="Arial Narrow"/>
                <w:sz w:val="20"/>
              </w:rPr>
              <w:t>Część 1: Podstawy teoretyczne i wybrane aspekty praktyczne. Wydawnictwo KASPER, Kraków, 2004;</w:t>
            </w:r>
          </w:p>
          <w:p w:rsidR="007F4E19" w:rsidRDefault="007F4E19" w:rsidP="007F4E19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rPr>
                <w:rFonts w:ascii="Arial Narrow" w:hAnsi="Arial Narrow"/>
                <w:sz w:val="20"/>
              </w:rPr>
            </w:pPr>
            <w:r w:rsidRPr="000A3696">
              <w:rPr>
                <w:rFonts w:ascii="Arial Narrow" w:hAnsi="Arial Narrow"/>
                <w:sz w:val="20"/>
              </w:rPr>
              <w:t>Nowotny J.</w:t>
            </w:r>
            <w:r>
              <w:rPr>
                <w:rFonts w:ascii="Arial Narrow" w:hAnsi="Arial Narrow"/>
                <w:sz w:val="20"/>
              </w:rPr>
              <w:t xml:space="preserve"> (red.)</w:t>
            </w:r>
            <w:r w:rsidRPr="000A3696">
              <w:rPr>
                <w:rFonts w:ascii="Arial Narrow" w:hAnsi="Arial Narrow"/>
                <w:sz w:val="20"/>
              </w:rPr>
              <w:t xml:space="preserve">: Podstawy Fizjoterapii. </w:t>
            </w:r>
            <w:r>
              <w:rPr>
                <w:rFonts w:ascii="Arial Narrow" w:hAnsi="Arial Narrow"/>
                <w:sz w:val="20"/>
              </w:rPr>
              <w:t>Część 2: Podstawy metodyczne i technika wykonywania niektórych zabiegów. Wydawnictwo KASPER, Kraków, 2004;</w:t>
            </w:r>
          </w:p>
          <w:p w:rsidR="007F4E19" w:rsidRDefault="007F4E19" w:rsidP="007F4E19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rPr>
                <w:rFonts w:ascii="Arial Narrow" w:hAnsi="Arial Narrow"/>
                <w:sz w:val="20"/>
              </w:rPr>
            </w:pPr>
            <w:r w:rsidRPr="000A3696">
              <w:rPr>
                <w:rFonts w:ascii="Arial Narrow" w:hAnsi="Arial Narrow"/>
                <w:sz w:val="20"/>
              </w:rPr>
              <w:t>Nowotny J.</w:t>
            </w:r>
            <w:r>
              <w:rPr>
                <w:rFonts w:ascii="Arial Narrow" w:hAnsi="Arial Narrow"/>
                <w:sz w:val="20"/>
              </w:rPr>
              <w:t xml:space="preserve"> (red.)</w:t>
            </w:r>
            <w:r w:rsidRPr="000A3696">
              <w:rPr>
                <w:rFonts w:ascii="Arial Narrow" w:hAnsi="Arial Narrow"/>
                <w:sz w:val="20"/>
              </w:rPr>
              <w:t xml:space="preserve">: Podstawy Fizjoterapii. </w:t>
            </w:r>
            <w:r>
              <w:rPr>
                <w:rFonts w:ascii="Arial Narrow" w:hAnsi="Arial Narrow"/>
                <w:sz w:val="20"/>
              </w:rPr>
              <w:t>Część 3: Wybrane metody fizjoterapeutyczne. Wydawnictwo KASPER, Kraków, 2005;</w:t>
            </w:r>
          </w:p>
          <w:p w:rsidR="007F4E19" w:rsidRPr="00D76DF1" w:rsidRDefault="007F4E19" w:rsidP="007F4E19">
            <w:pPr>
              <w:pStyle w:val="Tekstpodstawowy"/>
              <w:numPr>
                <w:ilvl w:val="0"/>
                <w:numId w:val="19"/>
              </w:numPr>
              <w:spacing w:after="120"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D76DF1">
              <w:rPr>
                <w:rFonts w:ascii="Arial Narrow" w:hAnsi="Arial Narrow"/>
                <w:sz w:val="20"/>
              </w:rPr>
              <w:t>Rosławski</w:t>
            </w:r>
            <w:proofErr w:type="spellEnd"/>
            <w:r w:rsidRPr="00D76DF1">
              <w:rPr>
                <w:rFonts w:ascii="Arial Narrow" w:hAnsi="Arial Narrow"/>
                <w:sz w:val="20"/>
              </w:rPr>
              <w:t xml:space="preserve"> A., Skolimowski T.: Technika wykonywania ćwic</w:t>
            </w:r>
            <w:r>
              <w:rPr>
                <w:rFonts w:ascii="Arial Narrow" w:hAnsi="Arial Narrow"/>
                <w:sz w:val="20"/>
              </w:rPr>
              <w:t>zeń leczniczych. PZWL, Warszawa, 1987;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Zem</w:t>
            </w:r>
            <w:r w:rsidRPr="000A3696">
              <w:rPr>
                <w:rFonts w:ascii="Arial Narrow" w:hAnsi="Arial Narrow"/>
                <w:sz w:val="20"/>
                <w:szCs w:val="20"/>
              </w:rPr>
              <w:t>baty A.</w:t>
            </w:r>
            <w:r>
              <w:rPr>
                <w:rFonts w:ascii="Arial Narrow" w:hAnsi="Arial Narrow"/>
                <w:sz w:val="20"/>
                <w:szCs w:val="20"/>
              </w:rPr>
              <w:t xml:space="preserve"> (red.)</w:t>
            </w:r>
            <w:r w:rsidRPr="000A3696">
              <w:rPr>
                <w:rFonts w:ascii="Arial Narrow" w:hAnsi="Arial Narrow"/>
                <w:sz w:val="20"/>
                <w:szCs w:val="20"/>
              </w:rPr>
              <w:t>: Kinezyter</w:t>
            </w:r>
            <w:r>
              <w:rPr>
                <w:rFonts w:ascii="Arial Narrow" w:hAnsi="Arial Narrow"/>
                <w:sz w:val="20"/>
                <w:szCs w:val="20"/>
              </w:rPr>
              <w:t>apia. Tom I. Wydawnictwo KASPER, 2002;</w:t>
            </w:r>
          </w:p>
          <w:p w:rsidR="00BA65BD" w:rsidRP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F4E19">
              <w:rPr>
                <w:rFonts w:ascii="Arial Narrow" w:hAnsi="Arial Narrow"/>
                <w:sz w:val="20"/>
                <w:szCs w:val="20"/>
              </w:rPr>
              <w:t>Zembaty A. (red.): Kinezyterapia. Tom II. Wydawnictwo KASPER, 2003;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Adler S.S.,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Beckers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D., Buck M.: PNF w praktyce. DB Publishing, Warszawa, 2009;</w:t>
            </w:r>
          </w:p>
          <w:p w:rsidR="007F4E19" w:rsidRPr="000A3696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A3696">
              <w:rPr>
                <w:rFonts w:ascii="Arial Narrow" w:hAnsi="Arial Narrow"/>
                <w:sz w:val="20"/>
                <w:szCs w:val="20"/>
              </w:rPr>
              <w:t>Bahrynowska-Fic</w:t>
            </w:r>
            <w:proofErr w:type="spellEnd"/>
            <w:r w:rsidRPr="000A3696">
              <w:rPr>
                <w:rFonts w:ascii="Arial Narrow" w:hAnsi="Arial Narrow"/>
                <w:sz w:val="20"/>
                <w:szCs w:val="20"/>
              </w:rPr>
              <w:t xml:space="preserve"> J.: Właściwości ćwiczeń fizycznych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3696">
              <w:rPr>
                <w:rFonts w:ascii="Arial Narrow" w:hAnsi="Arial Narrow"/>
                <w:sz w:val="20"/>
                <w:szCs w:val="20"/>
              </w:rPr>
              <w:t xml:space="preserve"> ich systematyka i metodyka. PZWL, </w:t>
            </w:r>
            <w:r>
              <w:rPr>
                <w:rFonts w:ascii="Arial Narrow" w:hAnsi="Arial Narrow"/>
                <w:sz w:val="20"/>
                <w:szCs w:val="20"/>
              </w:rPr>
              <w:t>Warszawa, 1987;</w:t>
            </w:r>
          </w:p>
          <w:p w:rsidR="007F4E19" w:rsidRPr="000A3696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A3696">
              <w:rPr>
                <w:rFonts w:ascii="Arial Narrow" w:hAnsi="Arial Narrow"/>
                <w:sz w:val="20"/>
                <w:szCs w:val="20"/>
              </w:rPr>
              <w:t>Buckup</w:t>
            </w:r>
            <w:proofErr w:type="spellEnd"/>
            <w:r w:rsidRPr="000A3696">
              <w:rPr>
                <w:rFonts w:ascii="Arial Narrow" w:hAnsi="Arial Narrow"/>
                <w:sz w:val="20"/>
                <w:szCs w:val="20"/>
              </w:rPr>
              <w:t xml:space="preserve"> K.: Testy kliniczne w badaniu kości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3696">
              <w:rPr>
                <w:rFonts w:ascii="Arial Narrow" w:hAnsi="Arial Narrow"/>
                <w:sz w:val="20"/>
                <w:szCs w:val="20"/>
              </w:rPr>
              <w:t xml:space="preserve"> stawów i mięśni. PZWL, </w:t>
            </w:r>
            <w:r>
              <w:rPr>
                <w:rFonts w:ascii="Arial Narrow" w:hAnsi="Arial Narrow"/>
                <w:sz w:val="20"/>
                <w:szCs w:val="20"/>
              </w:rPr>
              <w:t>Warszawa, 2005;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Kasperczyk T.: </w:t>
            </w:r>
            <w:r w:rsidRPr="000A3696">
              <w:rPr>
                <w:rFonts w:ascii="Arial Narrow" w:hAnsi="Arial Narrow"/>
                <w:sz w:val="20"/>
                <w:szCs w:val="20"/>
              </w:rPr>
              <w:t xml:space="preserve">.: Wady postawy </w:t>
            </w:r>
            <w:r>
              <w:rPr>
                <w:rFonts w:ascii="Arial Narrow" w:hAnsi="Arial Narrow"/>
                <w:sz w:val="20"/>
                <w:szCs w:val="20"/>
              </w:rPr>
              <w:t>ciała - diagnostyka i leczenie. Wydawnictwo KASPER,</w:t>
            </w:r>
            <w:r w:rsidRPr="000A3696">
              <w:rPr>
                <w:rFonts w:ascii="Arial Narrow" w:hAnsi="Arial Narrow"/>
                <w:sz w:val="20"/>
                <w:szCs w:val="20"/>
              </w:rPr>
              <w:t xml:space="preserve"> Kraków</w:t>
            </w:r>
            <w:r>
              <w:rPr>
                <w:rFonts w:ascii="Arial Narrow" w:hAnsi="Arial Narrow"/>
                <w:sz w:val="20"/>
                <w:szCs w:val="20"/>
              </w:rPr>
              <w:t>, 1994;</w:t>
            </w:r>
          </w:p>
          <w:p w:rsidR="007F4E19" w:rsidRPr="004F6DF7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Chaitow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L. (red.): Techniki energii mięśniowej. ELSEVIER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Urban &amp; Partner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Wrocław, 2011;</w:t>
            </w:r>
          </w:p>
          <w:p w:rsidR="007F4E19" w:rsidRPr="008904E5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Fiodorenko-Dumas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Ż.,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Baściuk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I., Bogut B., Dumas I.: Kinezyterapia w praktyce fizjoterapeuty. Górnicki Wydawnictwo Medyczne, Wrocław, 2009;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Gibbons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P.,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Tehan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P.: Manipulacje kręgosłupa, klatki piersiowej i obręczy biodrowej w osteopatii. </w:t>
            </w:r>
            <w:r>
              <w:rPr>
                <w:rFonts w:ascii="Arial Narrow" w:hAnsi="Arial Narrow"/>
                <w:sz w:val="20"/>
                <w:szCs w:val="20"/>
              </w:rPr>
              <w:t xml:space="preserve">ELSEVIER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Urban &amp; Partner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Wrocław, 2011;</w:t>
            </w:r>
          </w:p>
          <w:p w:rsidR="007F4E19" w:rsidRPr="000A3696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 xml:space="preserve">Kwolek A.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(red.):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Rehabilitacja medyczna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T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om 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 xml:space="preserve"> Wydawnictwo Urban &amp; Partner, Wrocław 2002.   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 xml:space="preserve">Kwolek A.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(red.):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Rehabilitacja medyczna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T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 xml:space="preserve">om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 xml:space="preserve"> Wydawnictwo Urban &amp; Partner, Wrocław 2002.   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Kokosz M., Zembaty A., Saulicz E.: Systematyka metod kinezyterapeutycznych. Fizjoterapia Polska, 2003, Vol. 3, 3, 287-296;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Kokosz M., Saulicz E., Saulicz M.: Metoda McKenzie – jedna z dominujących metod stosowanych w leczeniu zachowawczym dolegliwości bólowych dolnego odcinka kręgosłupa. Fizjoterapia, 1997, 5, 1, 35-41;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Kokosz M., Saulicz E., Saulicz M.: Możliwości zastosowania metody McKenzie w leczeniu dolegliwości bólowych górnego odcinka kręgosłupa. Fizjoterapia, 1997, 5, 2, 28-36;</w:t>
            </w:r>
          </w:p>
          <w:p w:rsidR="007F4E19" w:rsidRPr="005D70D1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Kokosz M., Saulicz E., Żmudzka-Wilczek E., Saulicz M.: Możliwości wykorzystania stymulacji oraz technik specjalnych w metodzie PNF. Fizjoterapia, 1998, 6, 3, 20-27;</w:t>
            </w:r>
          </w:p>
          <w:p w:rsidR="007F4E19" w:rsidRPr="000A3696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A3696">
              <w:rPr>
                <w:rFonts w:ascii="Arial Narrow" w:hAnsi="Arial Narrow"/>
                <w:sz w:val="20"/>
                <w:szCs w:val="20"/>
              </w:rPr>
              <w:t>Levitt</w:t>
            </w:r>
            <w:proofErr w:type="spellEnd"/>
            <w:r w:rsidRPr="000A3696">
              <w:rPr>
                <w:rFonts w:ascii="Arial Narrow" w:hAnsi="Arial Narrow"/>
                <w:sz w:val="20"/>
                <w:szCs w:val="20"/>
              </w:rPr>
              <w:t xml:space="preserve"> K.: Terapia manualna</w:t>
            </w:r>
            <w:r>
              <w:rPr>
                <w:rFonts w:ascii="Arial Narrow" w:hAnsi="Arial Narrow"/>
                <w:sz w:val="20"/>
                <w:szCs w:val="20"/>
              </w:rPr>
              <w:t xml:space="preserve"> w leczeniu dysfunkcji narządu ruchu</w:t>
            </w:r>
            <w:r w:rsidRPr="000A3696">
              <w:rPr>
                <w:rFonts w:ascii="Arial Narrow" w:hAnsi="Arial Narrow"/>
                <w:sz w:val="20"/>
                <w:szCs w:val="20"/>
              </w:rPr>
              <w:t>. PZWL, Warszawa 1984.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Matyja M., Domagalska M.: Podstawy usprawniania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neurorozwojowego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według Berty i Karela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Bobathów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ŚLAM, Katowice, 1997;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Matyja M., Gogola A.: Edukacja sensomotoryczna niemowląt. AWF, Katowice, 2009;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Milanowska K.: Kinezyterapia. PZWL, Warszawa, 1985;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Nowotny J., Saulicz E.: Niektóre zaburzenia statyki ciała i ich korekcja. AWF, Katowice, 1998;</w:t>
            </w:r>
          </w:p>
          <w:p w:rsidR="007F4E19" w:rsidRPr="00067680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Olson K.A.: Terapia manualna kręgosłupa. ELSEVIER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Urban &amp; Partner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Wrocław, </w:t>
            </w:r>
            <w:r>
              <w:rPr>
                <w:rFonts w:ascii="Arial Narrow" w:hAnsi="Arial Narrow"/>
                <w:sz w:val="20"/>
                <w:szCs w:val="20"/>
              </w:rPr>
              <w:t>2011;</w:t>
            </w:r>
          </w:p>
          <w:p w:rsidR="007F4E19" w:rsidRPr="000A3696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Richardson C.,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Hodges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Hides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J.: Kinezyterapia w stabilizacji kompleksu lędźwiowo-miednicznego. ELSEVIER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Urban &amp; Partner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Wrocław, </w:t>
            </w:r>
            <w:r>
              <w:rPr>
                <w:rFonts w:ascii="Arial Narrow" w:hAnsi="Arial Narrow"/>
                <w:sz w:val="20"/>
                <w:szCs w:val="20"/>
              </w:rPr>
              <w:t>2009;</w:t>
            </w:r>
          </w:p>
          <w:p w:rsid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Saulicz E., Nowotny J.: Metoda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Brunkow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jedna z nowszych metod fizjoterapii. Zeszyty Metodyczno-Naukowe, AWF, 1993, 3, 127-133;</w:t>
            </w:r>
          </w:p>
          <w:p w:rsidR="00BA65BD" w:rsidRPr="007F4E19" w:rsidRDefault="007F4E19" w:rsidP="007F4E1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Shacklock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M.: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Neurodynamika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kliniczna. ELSEVIER </w:t>
            </w:r>
            <w:r w:rsidRPr="000A3696">
              <w:rPr>
                <w:rFonts w:ascii="Arial Narrow" w:hAnsi="Arial Narrow"/>
                <w:color w:val="000000"/>
                <w:sz w:val="20"/>
                <w:szCs w:val="20"/>
              </w:rPr>
              <w:t>Urban &amp; Partner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Wrocław, 2008;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Pr="009E57CC" w:rsidRDefault="00BA65BD" w:rsidP="00BA65B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Default="007F4E19" w:rsidP="00BA65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Ćwiczenia: metoda kompleksowa (demonstracja, pokaz, przykład), metoda problemowa (metoda sytuacyjna i metoda przypadków)</w:t>
            </w:r>
          </w:p>
          <w:p w:rsidR="007F4E19" w:rsidRDefault="007F4E19" w:rsidP="00BA65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F4E19" w:rsidRDefault="007F4E19" w:rsidP="00BA65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-----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Pr="009E57CC" w:rsidRDefault="00FB57F6" w:rsidP="00BA65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B57F6">
              <w:rPr>
                <w:rFonts w:ascii="Arial Narrow" w:hAnsi="Arial Narrow"/>
                <w:sz w:val="20"/>
                <w:szCs w:val="20"/>
              </w:rPr>
              <w:t>Rzutnik, prezentacja, wyposażona pracownia kinezyterapii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Default="00BA65BD" w:rsidP="00BA65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</w:t>
            </w:r>
          </w:p>
          <w:p w:rsidR="00BA65BD" w:rsidRPr="009E57CC" w:rsidRDefault="00BA65BD" w:rsidP="00BA65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</w:rPr>
              <w:t>Tematyka: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BD" w:rsidRPr="009E57CC" w:rsidRDefault="00BA65BD" w:rsidP="00BA65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 </w:t>
            </w:r>
            <w:r w:rsidR="00275603">
              <w:rPr>
                <w:rFonts w:ascii="Arial Narrow" w:hAnsi="Arial Narrow" w:cs="Arial"/>
                <w:sz w:val="20"/>
                <w:szCs w:val="20"/>
              </w:rPr>
              <w:t xml:space="preserve">praktyczne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 oceną </w:t>
            </w:r>
          </w:p>
        </w:tc>
      </w:tr>
      <w:tr w:rsidR="00BA65BD" w:rsidRPr="009E57CC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BD" w:rsidRPr="009E57CC" w:rsidRDefault="00BA65BD" w:rsidP="00BA65B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D" w:rsidRPr="009E57CC" w:rsidRDefault="00376315" w:rsidP="00BA65B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BA65BD" w:rsidRPr="00B36C88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4745A" w:rsidRDefault="0074745A" w:rsidP="000C1DBF">
      <w:pPr>
        <w:spacing w:after="0" w:line="240" w:lineRule="auto"/>
        <w:rPr>
          <w:rFonts w:ascii="Arial Narrow" w:hAnsi="Arial Narrow"/>
          <w:color w:val="000000"/>
          <w:sz w:val="20"/>
        </w:rPr>
      </w:pPr>
      <w:r w:rsidRPr="00E765B8">
        <w:rPr>
          <w:rFonts w:ascii="Arial Narrow" w:hAnsi="Arial Narrow"/>
          <w:color w:val="000000"/>
          <w:sz w:val="20"/>
        </w:rPr>
        <w:t>Autor sylabusa:</w:t>
      </w:r>
      <w:r>
        <w:rPr>
          <w:rFonts w:ascii="Arial Narrow" w:hAnsi="Arial Narrow"/>
          <w:color w:val="000000"/>
          <w:sz w:val="20"/>
        </w:rPr>
        <w:t xml:space="preserve"> </w:t>
      </w:r>
      <w:r w:rsidR="00F87EB8">
        <w:rPr>
          <w:rFonts w:ascii="Arial Narrow" w:hAnsi="Arial Narrow"/>
          <w:color w:val="000000"/>
          <w:sz w:val="20"/>
        </w:rPr>
        <w:t>dr Tomasz Wolny</w:t>
      </w:r>
    </w:p>
    <w:p w:rsidR="0074745A" w:rsidRDefault="0074745A" w:rsidP="000C1DBF">
      <w:pPr>
        <w:spacing w:after="0" w:line="240" w:lineRule="auto"/>
        <w:rPr>
          <w:rFonts w:ascii="Arial Narrow" w:hAnsi="Arial Narrow"/>
        </w:rPr>
      </w:pPr>
      <w:r w:rsidRPr="00E765B8">
        <w:rPr>
          <w:rFonts w:ascii="Arial Narrow" w:hAnsi="Arial Narrow"/>
          <w:color w:val="000000"/>
          <w:sz w:val="20"/>
        </w:rPr>
        <w:t>Data opracowania:</w:t>
      </w:r>
      <w:r w:rsidR="005D3747">
        <w:rPr>
          <w:rFonts w:ascii="Arial Narrow" w:hAnsi="Arial Narrow"/>
          <w:color w:val="000000"/>
          <w:sz w:val="20"/>
        </w:rPr>
        <w:t xml:space="preserve"> 20 kwiecień 2015</w:t>
      </w:r>
    </w:p>
    <w:p w:rsidR="00AC6170" w:rsidRPr="009E57CC" w:rsidRDefault="00AC6170" w:rsidP="000C1DBF">
      <w:pPr>
        <w:spacing w:after="0" w:line="240" w:lineRule="auto"/>
      </w:pPr>
    </w:p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87" w:rsidRDefault="009E1987" w:rsidP="005D3747">
      <w:pPr>
        <w:spacing w:after="0" w:line="240" w:lineRule="auto"/>
      </w:pPr>
      <w:r>
        <w:separator/>
      </w:r>
    </w:p>
  </w:endnote>
  <w:endnote w:type="continuationSeparator" w:id="0">
    <w:p w:rsidR="009E1987" w:rsidRDefault="009E1987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87" w:rsidRDefault="009E1987" w:rsidP="005D3747">
      <w:pPr>
        <w:spacing w:after="0" w:line="240" w:lineRule="auto"/>
      </w:pPr>
      <w:r>
        <w:separator/>
      </w:r>
    </w:p>
  </w:footnote>
  <w:footnote w:type="continuationSeparator" w:id="0">
    <w:p w:rsidR="009E1987" w:rsidRDefault="009E1987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326C2108"/>
    <w:multiLevelType w:val="hybridMultilevel"/>
    <w:tmpl w:val="1014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5EB64610"/>
    <w:multiLevelType w:val="hybridMultilevel"/>
    <w:tmpl w:val="30EAD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0D52E4"/>
    <w:rsid w:val="001060A2"/>
    <w:rsid w:val="0012441D"/>
    <w:rsid w:val="0013685B"/>
    <w:rsid w:val="001444CC"/>
    <w:rsid w:val="001D2454"/>
    <w:rsid w:val="001F77DA"/>
    <w:rsid w:val="002000FE"/>
    <w:rsid w:val="00275603"/>
    <w:rsid w:val="002844A9"/>
    <w:rsid w:val="002A2C52"/>
    <w:rsid w:val="00305FCA"/>
    <w:rsid w:val="0034686A"/>
    <w:rsid w:val="00376315"/>
    <w:rsid w:val="0041176F"/>
    <w:rsid w:val="00435E9A"/>
    <w:rsid w:val="0049232E"/>
    <w:rsid w:val="004D4D00"/>
    <w:rsid w:val="004D5EF9"/>
    <w:rsid w:val="00565D3A"/>
    <w:rsid w:val="005D3747"/>
    <w:rsid w:val="005E6031"/>
    <w:rsid w:val="0067002A"/>
    <w:rsid w:val="006B7886"/>
    <w:rsid w:val="0074745A"/>
    <w:rsid w:val="007474AE"/>
    <w:rsid w:val="00761E71"/>
    <w:rsid w:val="007C5651"/>
    <w:rsid w:val="007E0540"/>
    <w:rsid w:val="007F4E19"/>
    <w:rsid w:val="0083306B"/>
    <w:rsid w:val="0088742A"/>
    <w:rsid w:val="008B1DED"/>
    <w:rsid w:val="00951624"/>
    <w:rsid w:val="00986608"/>
    <w:rsid w:val="009E1987"/>
    <w:rsid w:val="009E57CC"/>
    <w:rsid w:val="00A86CBE"/>
    <w:rsid w:val="00AB2CCF"/>
    <w:rsid w:val="00AC6170"/>
    <w:rsid w:val="00B05822"/>
    <w:rsid w:val="00B36B65"/>
    <w:rsid w:val="00BA08B2"/>
    <w:rsid w:val="00BA65BD"/>
    <w:rsid w:val="00BD58B9"/>
    <w:rsid w:val="00BE0DFE"/>
    <w:rsid w:val="00CD5E7B"/>
    <w:rsid w:val="00CF18AF"/>
    <w:rsid w:val="00D127A9"/>
    <w:rsid w:val="00D76A02"/>
    <w:rsid w:val="00DF6A6D"/>
    <w:rsid w:val="00EC30B4"/>
    <w:rsid w:val="00F47B7B"/>
    <w:rsid w:val="00F848F6"/>
    <w:rsid w:val="00F87EB8"/>
    <w:rsid w:val="00FB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A65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F4E19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7F4E1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2015-05-19T11:53:00Z</dcterms:created>
  <dcterms:modified xsi:type="dcterms:W3CDTF">2015-05-21T12:04:00Z</dcterms:modified>
</cp:coreProperties>
</file>